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80" w:rsidRDefault="00001732" w:rsidP="00A54D69">
      <w:pPr>
        <w:pStyle w:val="Bodytext30"/>
        <w:shd w:val="clear" w:color="auto" w:fill="auto"/>
        <w:spacing w:before="120" w:line="240" w:lineRule="auto"/>
        <w:ind w:firstLine="720"/>
      </w:pPr>
      <w:r>
        <w:t>Đ</w:t>
      </w:r>
      <w:r w:rsidR="00A54D69">
        <w:rPr>
          <w:lang w:val="en-US"/>
        </w:rPr>
        <w:t>Ề</w:t>
      </w:r>
      <w:r>
        <w:t xml:space="preserve"> CƯƠNG BÁO CÁO</w:t>
      </w:r>
    </w:p>
    <w:p w:rsidR="00781580" w:rsidRDefault="00001732" w:rsidP="00A54D69">
      <w:pPr>
        <w:pStyle w:val="Bodytext30"/>
        <w:shd w:val="clear" w:color="auto" w:fill="auto"/>
        <w:spacing w:before="120" w:line="240" w:lineRule="auto"/>
        <w:ind w:firstLine="720"/>
      </w:pPr>
      <w:r>
        <w:t>Kết quả tiếp công dân, giải quyết khiếu nại, tố cáo của công dân</w:t>
      </w:r>
      <w:r>
        <w:br/>
        <w:t xml:space="preserve">của </w:t>
      </w:r>
      <w:r w:rsidR="00A54D69">
        <w:rPr>
          <w:lang w:val="en-US"/>
        </w:rPr>
        <w:t>Ủ</w:t>
      </w:r>
      <w:r>
        <w:t>y ban nhân dân t</w:t>
      </w:r>
      <w:r w:rsidR="00A54D69">
        <w:rPr>
          <w:lang w:val="en-US"/>
        </w:rPr>
        <w:t>ỉ</w:t>
      </w:r>
      <w:r>
        <w:t>nh, thành phố (từ 15/8/2017 đến 15/8/2018)</w:t>
      </w:r>
    </w:p>
    <w:p w:rsidR="00A54D69" w:rsidRDefault="00A54D69" w:rsidP="00A54D69">
      <w:pPr>
        <w:pStyle w:val="Bodytext30"/>
        <w:shd w:val="clear" w:color="auto" w:fill="auto"/>
        <w:spacing w:before="120" w:line="240" w:lineRule="auto"/>
        <w:ind w:firstLine="720"/>
      </w:pPr>
    </w:p>
    <w:p w:rsidR="00781580" w:rsidRDefault="00A54D69" w:rsidP="00A54D69">
      <w:pPr>
        <w:pStyle w:val="Bodytext50"/>
        <w:shd w:val="clear" w:color="auto" w:fill="auto"/>
        <w:tabs>
          <w:tab w:val="left" w:pos="1079"/>
        </w:tabs>
        <w:spacing w:before="120" w:after="0" w:line="240" w:lineRule="auto"/>
        <w:ind w:left="360" w:firstLine="720"/>
      </w:pPr>
      <w:r>
        <w:rPr>
          <w:lang w:val="en-US"/>
        </w:rPr>
        <w:t xml:space="preserve">I. </w:t>
      </w:r>
      <w:r w:rsidR="00001732">
        <w:t>T</w:t>
      </w:r>
      <w:r>
        <w:rPr>
          <w:lang w:val="en-US"/>
        </w:rPr>
        <w:t>Ì</w:t>
      </w:r>
      <w:r>
        <w:t>NH HÌNH CHU</w:t>
      </w:r>
      <w:r w:rsidR="00001732">
        <w:t>NG V</w:t>
      </w:r>
      <w:r>
        <w:rPr>
          <w:lang w:val="en-US"/>
        </w:rPr>
        <w:t>Ề</w:t>
      </w:r>
      <w:r w:rsidR="00001732">
        <w:t xml:space="preserve"> T</w:t>
      </w:r>
      <w:r>
        <w:rPr>
          <w:lang w:val="en-US"/>
        </w:rPr>
        <w:t>IẾ</w:t>
      </w:r>
      <w:r w:rsidR="00001732">
        <w:t xml:space="preserve">P CÔNG DÂN, GIẢI </w:t>
      </w:r>
      <w:r w:rsidR="00001732">
        <w:t>Q</w:t>
      </w:r>
      <w:r>
        <w:rPr>
          <w:lang w:val="en-US"/>
        </w:rPr>
        <w:t>UYẾ</w:t>
      </w:r>
      <w:r w:rsidR="00001732">
        <w:t>T KHI</w:t>
      </w:r>
      <w:r>
        <w:rPr>
          <w:lang w:val="en-US"/>
        </w:rPr>
        <w:t>Ế</w:t>
      </w:r>
      <w:r w:rsidR="00001732">
        <w:t>U NẠI, T</w:t>
      </w:r>
      <w:r>
        <w:rPr>
          <w:lang w:val="en-US"/>
        </w:rPr>
        <w:t>Ố</w:t>
      </w:r>
      <w:r w:rsidR="00001732">
        <w:t xml:space="preserve"> CÁO</w:t>
      </w:r>
    </w:p>
    <w:p w:rsidR="00781580" w:rsidRDefault="00A54D69" w:rsidP="00A54D69">
      <w:pPr>
        <w:pStyle w:val="Bodytext20"/>
        <w:shd w:val="clear" w:color="auto" w:fill="auto"/>
        <w:tabs>
          <w:tab w:val="left" w:pos="1096"/>
        </w:tabs>
        <w:spacing w:before="120" w:after="0" w:line="240" w:lineRule="auto"/>
        <w:ind w:left="360" w:firstLine="720"/>
      </w:pPr>
      <w:r>
        <w:rPr>
          <w:lang w:val="en-US"/>
        </w:rPr>
        <w:t xml:space="preserve">1. </w:t>
      </w:r>
      <w:r w:rsidR="00001732">
        <w:t xml:space="preserve">Khái quát tình hình, kết quả triển khai tiếp công dân theo Luật </w:t>
      </w:r>
      <w:r>
        <w:rPr>
          <w:lang w:val="en-US"/>
        </w:rPr>
        <w:t>T</w:t>
      </w:r>
      <w:r w:rsidR="00001732">
        <w:t>iếp công dân và Nghị định, Thông t</w:t>
      </w:r>
      <w:r>
        <w:rPr>
          <w:lang w:val="en-US"/>
        </w:rPr>
        <w:t>ư</w:t>
      </w:r>
      <w:r w:rsidR="00001732">
        <w:t xml:space="preserve"> hướng dẫn.</w:t>
      </w:r>
    </w:p>
    <w:p w:rsidR="00781580" w:rsidRDefault="00A54D69" w:rsidP="00A54D69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Việc xây dựng kế hoạch, lịch tiếp công dân định kỳ và công bố trên trang thông tin điện tử của cơ quan (cấp tỉnh, cấp hu</w:t>
      </w:r>
      <w:r w:rsidR="00001732">
        <w:t>yện).</w:t>
      </w:r>
    </w:p>
    <w:p w:rsidR="00781580" w:rsidRDefault="00A54D69" w:rsidP="00A54D69">
      <w:pPr>
        <w:pStyle w:val="Bodytext20"/>
        <w:shd w:val="clear" w:color="auto" w:fill="auto"/>
        <w:tabs>
          <w:tab w:val="left" w:pos="999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Việc bố trí cán bộ tiếp công dân tại các cấp ngành, số lượng và tỷ lệ cán bộ được đào tạo chuyên ngành luật; việc bồi d</w:t>
      </w:r>
      <w:r>
        <w:rPr>
          <w:lang w:val="en-US"/>
        </w:rPr>
        <w:t>ưỡng</w:t>
      </w:r>
      <w:r w:rsidR="00001732">
        <w:t>, tập huấn kỹ năng cho cán bộ làm công tác này.</w:t>
      </w:r>
    </w:p>
    <w:p w:rsidR="00781580" w:rsidRDefault="00A54D69" w:rsidP="00A54D69">
      <w:pPr>
        <w:pStyle w:val="Bodytext20"/>
        <w:shd w:val="clear" w:color="auto" w:fill="auto"/>
        <w:tabs>
          <w:tab w:val="left" w:pos="1140"/>
        </w:tabs>
        <w:spacing w:before="120" w:after="0" w:line="240" w:lineRule="auto"/>
        <w:ind w:left="360" w:firstLine="720"/>
      </w:pPr>
      <w:r>
        <w:rPr>
          <w:lang w:val="en-US"/>
        </w:rPr>
        <w:t xml:space="preserve">2. </w:t>
      </w:r>
      <w:r w:rsidR="00001732">
        <w:t>Khái quát tình hình khiếu nại, tố cáo củ</w:t>
      </w:r>
      <w:r>
        <w:t>a công dân trong tỉnh, thành phố</w:t>
      </w:r>
    </w:p>
    <w:p w:rsidR="00781580" w:rsidRDefault="00001732" w:rsidP="00A54D69">
      <w:pPr>
        <w:pStyle w:val="Bodytext20"/>
        <w:shd w:val="clear" w:color="auto" w:fill="auto"/>
        <w:tabs>
          <w:tab w:val="left" w:pos="999"/>
        </w:tabs>
        <w:spacing w:before="120" w:after="0" w:line="240" w:lineRule="auto"/>
        <w:ind w:left="360" w:firstLine="720"/>
      </w:pPr>
      <w:r>
        <w:t>N</w:t>
      </w:r>
      <w:r w:rsidR="00A54D69">
        <w:rPr>
          <w:lang w:val="en-US"/>
        </w:rPr>
        <w:t>ê</w:t>
      </w:r>
      <w:r>
        <w:t>u cụ</w:t>
      </w:r>
      <w:r>
        <w:t xml:space="preserve"> thể về tình hình khiếu nại, tố cáo tại địa phương tăng hay giảm so với cùng kỳ; tình hình khiếu nại, tố cáo đông người, bức xúc, phức tạp tại địa phương.</w:t>
      </w:r>
    </w:p>
    <w:p w:rsidR="00781580" w:rsidRDefault="00A54D69" w:rsidP="00A54D69">
      <w:pPr>
        <w:pStyle w:val="Bodytext20"/>
        <w:shd w:val="clear" w:color="auto" w:fill="auto"/>
        <w:tabs>
          <w:tab w:val="left" w:pos="999"/>
        </w:tabs>
        <w:spacing w:before="120" w:after="0" w:line="240" w:lineRule="auto"/>
        <w:ind w:left="360" w:firstLine="720"/>
      </w:pPr>
      <w:r>
        <w:rPr>
          <w:lang w:val="en-US"/>
        </w:rPr>
        <w:t xml:space="preserve">3. </w:t>
      </w:r>
      <w:r w:rsidR="00001732">
        <w:t>Kết quả tiếp công dân trên địa bàn tỉnh, thành phố;</w:t>
      </w:r>
    </w:p>
    <w:p w:rsidR="00781580" w:rsidRDefault="00A54D69" w:rsidP="00A54D69">
      <w:pPr>
        <w:pStyle w:val="Bodytext20"/>
        <w:shd w:val="clear" w:color="auto" w:fill="auto"/>
        <w:tabs>
          <w:tab w:val="left" w:pos="999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Số lượt tiếp/số vụ việc khiếu nại, tố cáo;</w:t>
      </w:r>
    </w:p>
    <w:p w:rsidR="00781580" w:rsidRDefault="00A54D69" w:rsidP="00A54D69">
      <w:pPr>
        <w:pStyle w:val="Bodytext20"/>
        <w:shd w:val="clear" w:color="auto" w:fill="auto"/>
        <w:tabs>
          <w:tab w:val="left" w:pos="999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Nội du</w:t>
      </w:r>
      <w:r w:rsidR="00001732">
        <w:t>ng khiếu nại, tố cáo;</w:t>
      </w:r>
    </w:p>
    <w:p w:rsidR="00781580" w:rsidRDefault="00A54D69" w:rsidP="00A54D69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Số đoàn đông người/số vụ việc khiếu nại, t</w:t>
      </w:r>
      <w:r>
        <w:rPr>
          <w:lang w:val="en-US"/>
        </w:rPr>
        <w:t>ố</w:t>
      </w:r>
      <w:r w:rsidR="00001732">
        <w:t xml:space="preserve"> cáo đông người; vụ việc khiếu nại, tố cáo phức tạp kéo dài; số vụ việc lợi dụng khiếu nại gây rối mất trật tự an ninh (nêu có).</w:t>
      </w:r>
    </w:p>
    <w:p w:rsidR="00781580" w:rsidRDefault="00A54D69" w:rsidP="00A54D69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Số ngày Chủ tịch UBND cấp tỉnh, Chủ tịch UBND cấp huyện, cấp x</w:t>
      </w:r>
      <w:r w:rsidR="00001732">
        <w:t>ã tiếp công dân định kỳ theo quy định của Luật Tiếp công dân (số ngày tiếp/t</w:t>
      </w:r>
      <w:r>
        <w:rPr>
          <w:lang w:val="en-US"/>
        </w:rPr>
        <w:t>ổ</w:t>
      </w:r>
      <w:r w:rsidR="00001732">
        <w:t>ng số định kỳ theo quy định trong thời gian báo cáo 12 tháng), trong đó nêu rõ số lượt công dân đã ti</w:t>
      </w:r>
      <w:r>
        <w:rPr>
          <w:lang w:val="en-US"/>
        </w:rPr>
        <w:t>ế</w:t>
      </w:r>
      <w:r>
        <w:t xml:space="preserve">p/số </w:t>
      </w:r>
      <w:r w:rsidR="00001732">
        <w:t>vụ việc và kết quả giải quyết, hiệu quả tiếp công dân của Chủ tịch; số n</w:t>
      </w:r>
      <w:r w:rsidR="00001732">
        <w:t>gày tiếp công dân của cấp phó theo ủy quyền của Chủ tịch; việc công khai lịch tiếp công dân của Chủ tịch (niêm yết công khai tại nơi tiếp và trên c</w:t>
      </w:r>
      <w:r>
        <w:rPr>
          <w:lang w:val="en-US"/>
        </w:rPr>
        <w:t>ổ</w:t>
      </w:r>
      <w:r w:rsidR="00001732">
        <w:t>ng thông tin điện tử, có bản sao lịch tiếp công dân c</w:t>
      </w:r>
      <w:r>
        <w:rPr>
          <w:lang w:val="en-US"/>
        </w:rPr>
        <w:t>ủa</w:t>
      </w:r>
      <w:r w:rsidR="00001732">
        <w:t xml:space="preserve"> Chủ tịch, Phó Chủ tịch kèm theo).</w:t>
      </w:r>
    </w:p>
    <w:p w:rsidR="00A54D69" w:rsidRDefault="00A54D69" w:rsidP="00A54D69">
      <w:pPr>
        <w:pStyle w:val="Bodytext20"/>
        <w:shd w:val="clear" w:color="auto" w:fill="auto"/>
        <w:tabs>
          <w:tab w:val="left" w:pos="1144"/>
        </w:tabs>
        <w:spacing w:before="120" w:after="0" w:line="240" w:lineRule="auto"/>
        <w:ind w:left="360" w:firstLine="720"/>
      </w:pPr>
      <w:r>
        <w:rPr>
          <w:lang w:val="en-US"/>
        </w:rPr>
        <w:t xml:space="preserve">4. </w:t>
      </w:r>
      <w:r w:rsidR="00001732">
        <w:t>Việc giải quyết kh</w:t>
      </w:r>
      <w:r w:rsidR="00001732">
        <w:t xml:space="preserve">iếu nại, tố </w:t>
      </w:r>
      <w:r>
        <w:t>cáo trên địa bàn tỉnh, thành phố</w:t>
      </w:r>
    </w:p>
    <w:p w:rsidR="00781580" w:rsidRDefault="00A54D69" w:rsidP="00A54D69">
      <w:pPr>
        <w:pStyle w:val="Bodytext20"/>
        <w:shd w:val="clear" w:color="auto" w:fill="auto"/>
        <w:tabs>
          <w:tab w:val="left" w:pos="1144"/>
        </w:tabs>
        <w:spacing w:before="120" w:after="0" w:line="240" w:lineRule="auto"/>
        <w:ind w:left="360" w:firstLine="720"/>
      </w:pPr>
      <w:r>
        <w:rPr>
          <w:lang w:val="en-US"/>
        </w:rPr>
        <w:t xml:space="preserve">4.1. </w:t>
      </w:r>
      <w:r w:rsidR="00001732">
        <w:t>Tình hình chung về giải quyết khiếu nại, tố cáo</w:t>
      </w:r>
    </w:p>
    <w:p w:rsidR="00781580" w:rsidRPr="00A54D69" w:rsidRDefault="00A54D69" w:rsidP="00A54D69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  <w:rPr>
          <w:lang w:val="en-US"/>
        </w:rPr>
      </w:pPr>
      <w:r>
        <w:rPr>
          <w:lang w:val="en-US"/>
        </w:rPr>
        <w:t xml:space="preserve">- </w:t>
      </w:r>
      <w:r w:rsidR="00001732">
        <w:t xml:space="preserve">Số đơn tiếp nhận: </w:t>
      </w:r>
      <w:r>
        <w:rPr>
          <w:lang w:val="en-US"/>
        </w:rPr>
        <w:t>S</w:t>
      </w:r>
      <w:r w:rsidR="00001732">
        <w:t>ố đơn đủ điều kiệ</w:t>
      </w:r>
      <w:r>
        <w:rPr>
          <w:lang w:val="en-US"/>
        </w:rPr>
        <w:t>n</w:t>
      </w:r>
      <w:r>
        <w:t xml:space="preserve"> và không đủ điề</w:t>
      </w:r>
      <w:r w:rsidR="00001732">
        <w:t>u kiện giải quy</w:t>
      </w:r>
      <w:r>
        <w:rPr>
          <w:lang w:val="en-US"/>
        </w:rPr>
        <w:t>ế</w:t>
      </w:r>
      <w:r w:rsidR="00001732">
        <w:t>t</w:t>
      </w:r>
      <w:r>
        <w:rPr>
          <w:lang w:val="en-US"/>
        </w:rPr>
        <w:t>.</w:t>
      </w:r>
    </w:p>
    <w:p w:rsidR="00781580" w:rsidRPr="00A54D69" w:rsidRDefault="00A54D69" w:rsidP="00A54D69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  <w:rPr>
          <w:lang w:val="en-US"/>
        </w:rPr>
      </w:pPr>
      <w:r>
        <w:rPr>
          <w:lang w:val="en-US"/>
        </w:rPr>
        <w:t xml:space="preserve">- </w:t>
      </w:r>
      <w:r w:rsidR="00001732">
        <w:t>Số vụ việc thụ lý, giải quyết</w:t>
      </w:r>
      <w:r>
        <w:rPr>
          <w:lang w:val="en-US"/>
        </w:rPr>
        <w:t>.</w:t>
      </w:r>
    </w:p>
    <w:p w:rsidR="00781580" w:rsidRPr="00A54D69" w:rsidRDefault="00A54D69" w:rsidP="00A54D69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  <w:rPr>
          <w:lang w:val="en-US"/>
        </w:rPr>
      </w:pPr>
      <w:r>
        <w:rPr>
          <w:lang w:val="en-US"/>
        </w:rPr>
        <w:t xml:space="preserve">- </w:t>
      </w:r>
      <w:r>
        <w:t>Số</w:t>
      </w:r>
      <w:r w:rsidR="00001732">
        <w:t xml:space="preserve"> vụ việc mới phát sinh so với năm cũ</w:t>
      </w:r>
      <w:r>
        <w:rPr>
          <w:lang w:val="en-US"/>
        </w:rPr>
        <w:t>.</w:t>
      </w:r>
    </w:p>
    <w:p w:rsidR="00781580" w:rsidRDefault="00A54D69" w:rsidP="00A54D69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lastRenderedPageBreak/>
        <w:t xml:space="preserve">- </w:t>
      </w:r>
      <w:r w:rsidR="00001732">
        <w:t>Th</w:t>
      </w:r>
      <w:r>
        <w:rPr>
          <w:lang w:val="en-US"/>
        </w:rPr>
        <w:t>ẩ</w:t>
      </w:r>
      <w:r>
        <w:t>m quyề</w:t>
      </w:r>
      <w:r w:rsidR="00001732">
        <w:t>n giải quy</w:t>
      </w:r>
      <w:r>
        <w:rPr>
          <w:lang w:val="en-US"/>
        </w:rPr>
        <w:t>ế</w:t>
      </w:r>
      <w:r w:rsidR="00001732">
        <w:t xml:space="preserve">t: </w:t>
      </w:r>
      <w:r>
        <w:rPr>
          <w:lang w:val="en-US"/>
        </w:rPr>
        <w:t>Số</w:t>
      </w:r>
      <w:r w:rsidR="00001732">
        <w:t xml:space="preserve"> đơn thuộc th</w:t>
      </w:r>
      <w:r>
        <w:rPr>
          <w:lang w:val="en-US"/>
        </w:rPr>
        <w:t>ẩm</w:t>
      </w:r>
      <w:r w:rsidR="00001732">
        <w:t xml:space="preserve"> quyền giải quy</w:t>
      </w:r>
      <w:r>
        <w:rPr>
          <w:lang w:val="en-US"/>
        </w:rPr>
        <w:t>ế</w:t>
      </w:r>
      <w:r w:rsidR="00001732">
        <w:t>t của câp tỉnh (nêu cụ thể số đơn thuộc thẩm quyền giải quyết lần đ</w:t>
      </w:r>
      <w:r>
        <w:rPr>
          <w:lang w:val="en-US"/>
        </w:rPr>
        <w:t>ầ</w:t>
      </w:r>
      <w:r w:rsidR="00001732">
        <w:t>u, lần 2 của tỉnh, thành phố); số đơn thuộc th</w:t>
      </w:r>
      <w:r>
        <w:rPr>
          <w:lang w:val="en-US"/>
        </w:rPr>
        <w:t>ẩ</w:t>
      </w:r>
      <w:r w:rsidR="00001732">
        <w:t>m quyền của cấp huyện; số đơn đã giải quyết hết th</w:t>
      </w:r>
      <w:r>
        <w:rPr>
          <w:lang w:val="en-US"/>
        </w:rPr>
        <w:t>ẩ</w:t>
      </w:r>
      <w:r w:rsidR="00001732">
        <w:t>m quyền.</w:t>
      </w:r>
    </w:p>
    <w:p w:rsidR="00A54D69" w:rsidRDefault="00A54D69" w:rsidP="00A54D69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Đơn khiếu nại, tố cáo đã giải quyết hết th</w:t>
      </w:r>
      <w:r>
        <w:rPr>
          <w:lang w:val="en-US"/>
        </w:rPr>
        <w:t>ẩ</w:t>
      </w:r>
      <w:r w:rsidR="00001732">
        <w:t>m quy</w:t>
      </w:r>
      <w:r w:rsidR="00001732">
        <w:t xml:space="preserve">ền nhưng có chỉ đạo của Thủ tướng xem xét lại; </w:t>
      </w:r>
      <w:r>
        <w:t>những vụ việc giải quyết hết thẩ</w:t>
      </w:r>
      <w:r w:rsidR="00001732">
        <w:t>m quyền, đã rà soát giải quyết và chấm dứt thụ lý theo các Kế hoạch của Thanh tra Chính phủ, của tỉnh, thành phố nhưng công dân còn khiếu nại, tố cáo.</w:t>
      </w:r>
    </w:p>
    <w:p w:rsidR="00A54D69" w:rsidRDefault="00A54D69" w:rsidP="00A54D69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t xml:space="preserve">4.2. </w:t>
      </w:r>
      <w:r w:rsidR="00001732">
        <w:t>K</w:t>
      </w:r>
      <w:r>
        <w:rPr>
          <w:lang w:val="en-US"/>
        </w:rPr>
        <w:t>ế</w:t>
      </w:r>
      <w:r w:rsidR="00001732">
        <w:t>t quả giải quyết:</w:t>
      </w:r>
    </w:p>
    <w:p w:rsidR="00A54D69" w:rsidRDefault="00A54D69" w:rsidP="00A54D69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t xml:space="preserve">4.2.1. </w:t>
      </w:r>
      <w:r w:rsidR="00001732">
        <w:t xml:space="preserve">Số vụ </w:t>
      </w:r>
      <w:r w:rsidR="00001732">
        <w:t>việc khiếu nại đ</w:t>
      </w:r>
      <w:r>
        <w:rPr>
          <w:lang w:val="en-US"/>
        </w:rPr>
        <w:t>ã</w:t>
      </w:r>
      <w:r>
        <w:t xml:space="preserve"> giả</w:t>
      </w:r>
      <w:r w:rsidR="00001732">
        <w:t>i quyết:</w:t>
      </w:r>
    </w:p>
    <w:p w:rsidR="00A54D69" w:rsidRDefault="00A54D69" w:rsidP="00A54D69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t>-</w:t>
      </w:r>
      <w:r w:rsidR="00001732">
        <w:t xml:space="preserve"> Hình thức giải quyết (ban hành quyết định, công văn trả lời).</w:t>
      </w:r>
    </w:p>
    <w:p w:rsidR="00A04B41" w:rsidRDefault="00A54D69" w:rsidP="00A04B41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t>-</w:t>
      </w:r>
      <w:r w:rsidR="00001732">
        <w:t xml:space="preserve"> Phân tích kết quả giải quyết: </w:t>
      </w:r>
      <w:r>
        <w:rPr>
          <w:lang w:val="en-US"/>
        </w:rPr>
        <w:t>S</w:t>
      </w:r>
      <w:r w:rsidR="00001732">
        <w:t xml:space="preserve">ố vụ việc công dân khiếu nại đúng; số vụ việc công dân khiếu nại đúng một phần; số vụ việc công dân khiếu nại sai toàn bộ (tỷ lệ </w:t>
      </w:r>
      <w:r w:rsidR="00001732">
        <w:t>% đối với mỗi loại).</w:t>
      </w:r>
    </w:p>
    <w:p w:rsidR="00781580" w:rsidRDefault="00A04B41" w:rsidP="00A04B41">
      <w:pPr>
        <w:pStyle w:val="Bodytext20"/>
        <w:shd w:val="clear" w:color="auto" w:fill="auto"/>
        <w:tabs>
          <w:tab w:val="left" w:pos="992"/>
        </w:tabs>
        <w:spacing w:before="120" w:after="0" w:line="240" w:lineRule="auto"/>
        <w:ind w:left="360" w:firstLine="720"/>
      </w:pPr>
      <w:r>
        <w:rPr>
          <w:lang w:val="en-US"/>
        </w:rPr>
        <w:t>-</w:t>
      </w:r>
      <w:r>
        <w:t xml:space="preserve"> Kế</w:t>
      </w:r>
      <w:r w:rsidR="00001732">
        <w:t>t qu</w:t>
      </w:r>
      <w:r>
        <w:rPr>
          <w:lang w:val="en-US"/>
        </w:rPr>
        <w:t>ả</w:t>
      </w:r>
      <w:r w:rsidR="00001732">
        <w:t xml:space="preserve"> giải quyết khiếu nại: </w:t>
      </w:r>
      <w:r>
        <w:rPr>
          <w:lang w:val="en-US"/>
        </w:rPr>
        <w:t>N</w:t>
      </w:r>
      <w:r w:rsidR="00001732">
        <w:t>êu số liệu cụ thể tài sản đã thu hồi cho nhà nước và cho công dân; xử lý trách nhiệm trong giải quyết khiếu nại, nêu rõ số liệu, hình thức xử lý, thuộ</w:t>
      </w:r>
      <w:r>
        <w:t>c cấp, ngành nào (địa chỉ cụ thể</w:t>
      </w:r>
      <w:r w:rsidR="00001732">
        <w:t>).</w:t>
      </w:r>
    </w:p>
    <w:p w:rsidR="00781580" w:rsidRDefault="00A04B41" w:rsidP="00A54D69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Số vụ việc đang g</w:t>
      </w:r>
      <w:r w:rsidR="00001732">
        <w:t>iải quyết;</w:t>
      </w:r>
    </w:p>
    <w:p w:rsidR="00781580" w:rsidRDefault="00A04B41" w:rsidP="00A54D69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Số vụ việc chưa giải quyết, lý do của việc chưa giải quyết;</w:t>
      </w:r>
    </w:p>
    <w:p w:rsidR="00A04B41" w:rsidRDefault="00A04B41" w:rsidP="00A04B41">
      <w:pPr>
        <w:pStyle w:val="Bodytext20"/>
        <w:shd w:val="clear" w:color="auto" w:fill="auto"/>
        <w:tabs>
          <w:tab w:val="left" w:pos="996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Số vụ việc giải quyết hết th</w:t>
      </w:r>
      <w:r>
        <w:rPr>
          <w:lang w:val="en-US"/>
        </w:rPr>
        <w:t>ẩ</w:t>
      </w:r>
      <w:r w:rsidR="00001732">
        <w:t>m quyền đã, đang ki</w:t>
      </w:r>
      <w:r>
        <w:rPr>
          <w:lang w:val="en-US"/>
        </w:rPr>
        <w:t>ể</w:t>
      </w:r>
      <w:r w:rsidR="00001732">
        <w:t xml:space="preserve">m tra, rà soát lại: </w:t>
      </w:r>
      <w:r>
        <w:rPr>
          <w:lang w:val="en-US"/>
        </w:rPr>
        <w:t>S</w:t>
      </w:r>
      <w:r w:rsidR="00001732">
        <w:t>ố vụ việc giải quyết lại; số vụ việc giữ nguyên việc giải quyết; số vụ việc đang ki</w:t>
      </w:r>
      <w:r>
        <w:rPr>
          <w:lang w:val="en-US"/>
        </w:rPr>
        <w:t>ể</w:t>
      </w:r>
      <w:r w:rsidR="00001732">
        <w:t>m tra, rà soát lại;</w:t>
      </w:r>
    </w:p>
    <w:p w:rsidR="00A04B41" w:rsidRDefault="00A04B41" w:rsidP="00A04B41">
      <w:pPr>
        <w:pStyle w:val="Bodytext20"/>
        <w:shd w:val="clear" w:color="auto" w:fill="auto"/>
        <w:tabs>
          <w:tab w:val="left" w:pos="996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>
        <w:t>Kết quả tổ</w:t>
      </w:r>
      <w:r w:rsidR="00001732">
        <w:t xml:space="preserve"> </w:t>
      </w:r>
      <w:r w:rsidR="00001732">
        <w:t>chức thực hiện quyết định đã có hiệu lực.</w:t>
      </w:r>
    </w:p>
    <w:p w:rsidR="00A04B41" w:rsidRDefault="00A04B41" w:rsidP="00A04B41">
      <w:pPr>
        <w:pStyle w:val="Bodytext20"/>
        <w:shd w:val="clear" w:color="auto" w:fill="auto"/>
        <w:tabs>
          <w:tab w:val="left" w:pos="996"/>
        </w:tabs>
        <w:spacing w:before="120" w:after="0" w:line="240" w:lineRule="auto"/>
        <w:ind w:left="360" w:firstLine="720"/>
      </w:pPr>
      <w:r>
        <w:rPr>
          <w:lang w:val="en-US"/>
        </w:rPr>
        <w:t xml:space="preserve">4.2.2. </w:t>
      </w:r>
      <w:r w:rsidR="00001732">
        <w:t>S</w:t>
      </w:r>
      <w:r>
        <w:rPr>
          <w:lang w:val="en-US"/>
        </w:rPr>
        <w:t>ố</w:t>
      </w:r>
      <w:r>
        <w:t xml:space="preserve"> vụ việc tố</w:t>
      </w:r>
      <w:r w:rsidR="00001732">
        <w:t xml:space="preserve"> cáo đã giải quyết:</w:t>
      </w:r>
    </w:p>
    <w:p w:rsidR="00A04B41" w:rsidRDefault="00A04B41" w:rsidP="00A04B41">
      <w:pPr>
        <w:pStyle w:val="Bodytext20"/>
        <w:shd w:val="clear" w:color="auto" w:fill="auto"/>
        <w:tabs>
          <w:tab w:val="left" w:pos="996"/>
        </w:tabs>
        <w:spacing w:before="120" w:after="0" w:line="240" w:lineRule="auto"/>
        <w:ind w:left="360" w:firstLine="720"/>
      </w:pPr>
      <w:r>
        <w:rPr>
          <w:lang w:val="en-US"/>
        </w:rPr>
        <w:t>-</w:t>
      </w:r>
      <w:r w:rsidR="00001732">
        <w:t xml:space="preserve"> Phân tích kết quả giải quyết: </w:t>
      </w:r>
      <w:r>
        <w:rPr>
          <w:lang w:val="en-US"/>
        </w:rPr>
        <w:t>S</w:t>
      </w:r>
      <w:r w:rsidR="00001732">
        <w:t>ố vụ việc c</w:t>
      </w:r>
      <w:r>
        <w:rPr>
          <w:lang w:val="en-US"/>
        </w:rPr>
        <w:t>ô</w:t>
      </w:r>
      <w:r w:rsidR="00001732">
        <w:t>ng dân tố cáo đúng; số vụ việc công dân tố cáo đúng một phần; số vụ việc công dân tố cáo sai toàn bộ (tỷ lệ % đối với m</w:t>
      </w:r>
      <w:r>
        <w:rPr>
          <w:lang w:val="en-US"/>
        </w:rPr>
        <w:t>ỗ</w:t>
      </w:r>
      <w:r w:rsidR="00001732">
        <w:t>i loại).</w:t>
      </w:r>
    </w:p>
    <w:p w:rsidR="00A04B41" w:rsidRDefault="00A04B41" w:rsidP="00A04B41">
      <w:pPr>
        <w:pStyle w:val="Bodytext20"/>
        <w:shd w:val="clear" w:color="auto" w:fill="auto"/>
        <w:tabs>
          <w:tab w:val="left" w:pos="996"/>
        </w:tabs>
        <w:spacing w:before="120" w:after="0" w:line="240" w:lineRule="auto"/>
        <w:ind w:left="360" w:firstLine="720"/>
      </w:pPr>
      <w:r>
        <w:rPr>
          <w:lang w:val="en-US"/>
        </w:rPr>
        <w:t>-</w:t>
      </w:r>
      <w:r w:rsidR="00001732">
        <w:t xml:space="preserve"> Số vụ</w:t>
      </w:r>
      <w:r w:rsidR="00001732">
        <w:t xml:space="preserve"> việc từ khiếu nại không được chuy</w:t>
      </w:r>
      <w:r>
        <w:rPr>
          <w:lang w:val="en-US"/>
        </w:rPr>
        <w:t>ể</w:t>
      </w:r>
      <w:r w:rsidR="00001732">
        <w:t>n sang tố cáo người giải quyết khiếu nại.</w:t>
      </w:r>
    </w:p>
    <w:p w:rsidR="00781580" w:rsidRDefault="00A04B41" w:rsidP="00A04B41">
      <w:pPr>
        <w:pStyle w:val="Bodytext20"/>
        <w:shd w:val="clear" w:color="auto" w:fill="auto"/>
        <w:tabs>
          <w:tab w:val="left" w:pos="996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K</w:t>
      </w:r>
      <w:r>
        <w:rPr>
          <w:lang w:val="en-US"/>
        </w:rPr>
        <w:t>ế</w:t>
      </w:r>
      <w:r>
        <w:t>t quả giả</w:t>
      </w:r>
      <w:r w:rsidR="00001732">
        <w:t xml:space="preserve">i quyết tố cáo: </w:t>
      </w:r>
      <w:r>
        <w:rPr>
          <w:lang w:val="en-US"/>
        </w:rPr>
        <w:t>N</w:t>
      </w:r>
      <w:r w:rsidR="00001732">
        <w:t>êu số liệu cụ th</w:t>
      </w:r>
      <w:r>
        <w:rPr>
          <w:lang w:val="en-US"/>
        </w:rPr>
        <w:t>ể</w:t>
      </w:r>
      <w:r w:rsidR="00001732">
        <w:t xml:space="preserve"> tài sản đã thu hồi cho nhà nước và cho công dân; việc xử lý cán bộ, người bị tố cáo có vi phạm, nêu rõ số liệu, hình thức x</w:t>
      </w:r>
      <w:r>
        <w:rPr>
          <w:lang w:val="en-US"/>
        </w:rPr>
        <w:t>ử</w:t>
      </w:r>
      <w:r w:rsidR="00001732">
        <w:t xml:space="preserve"> lý, th</w:t>
      </w:r>
      <w:r w:rsidR="00001732">
        <w:t>uộc c</w:t>
      </w:r>
      <w:r>
        <w:rPr>
          <w:lang w:val="en-US"/>
        </w:rPr>
        <w:t>ấ</w:t>
      </w:r>
      <w:r w:rsidR="00001732">
        <w:t>p, ngành nào (địa chỉ cụ th</w:t>
      </w:r>
      <w:r>
        <w:rPr>
          <w:lang w:val="en-US"/>
        </w:rPr>
        <w:t>ể</w:t>
      </w:r>
      <w:r w:rsidR="00001732">
        <w:t>).</w:t>
      </w:r>
    </w:p>
    <w:p w:rsidR="00781580" w:rsidRDefault="00A04B41" w:rsidP="00A54D69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Số vụ việc đang giải quyết.</w:t>
      </w:r>
    </w:p>
    <w:p w:rsidR="00781580" w:rsidRDefault="00A04B41" w:rsidP="00A54D69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Số vụ việc chưa giả</w:t>
      </w:r>
      <w:r>
        <w:t>i quyết, lý do của việc chưa giả</w:t>
      </w:r>
      <w:r w:rsidR="00001732">
        <w:t>i quyết.</w:t>
      </w:r>
    </w:p>
    <w:p w:rsidR="00A04B41" w:rsidRDefault="00A04B41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>K</w:t>
      </w:r>
      <w:r>
        <w:rPr>
          <w:lang w:val="en-US"/>
        </w:rPr>
        <w:t>ế</w:t>
      </w:r>
      <w:r>
        <w:t>t quả tổ</w:t>
      </w:r>
      <w:r w:rsidR="00001732">
        <w:t xml:space="preserve"> chức thực hiện kết luận giải quyết t</w:t>
      </w:r>
      <w:r>
        <w:rPr>
          <w:lang w:val="en-US"/>
        </w:rPr>
        <w:t>ố</w:t>
      </w:r>
      <w:r w:rsidR="00001732">
        <w:t xml:space="preserve"> cáo.</w:t>
      </w:r>
    </w:p>
    <w:p w:rsidR="00781580" w:rsidRDefault="00A04B41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 xml:space="preserve">4.2.3. </w:t>
      </w:r>
      <w:r w:rsidR="00001732">
        <w:t>Số vụ việc công dân khiếu nại đã khởi kiện vụ án hành chính và kết quả giải q</w:t>
      </w:r>
      <w:r w:rsidR="00001732">
        <w:t>uyết của cơ quan Tòa án (tỷ l</w:t>
      </w:r>
      <w:r>
        <w:rPr>
          <w:lang w:val="en-US"/>
        </w:rPr>
        <w:t>ệ</w:t>
      </w:r>
      <w:r w:rsidR="00001732">
        <w:t xml:space="preserve"> các bản án đồng ý hoặc không đồng </w:t>
      </w:r>
      <w:r>
        <w:rPr>
          <w:lang w:val="en-US"/>
        </w:rPr>
        <w:t>ý</w:t>
      </w:r>
      <w:r w:rsidR="00001732">
        <w:t xml:space="preserve"> với quyết định hành chính, hành vi hành chính bị khởi kiện).</w:t>
      </w:r>
    </w:p>
    <w:p w:rsidR="00781580" w:rsidRDefault="00A04B41" w:rsidP="00A54D69">
      <w:pPr>
        <w:pStyle w:val="Bodytext20"/>
        <w:shd w:val="clear" w:color="auto" w:fill="auto"/>
        <w:tabs>
          <w:tab w:val="left" w:pos="1133"/>
        </w:tabs>
        <w:spacing w:before="120" w:after="0" w:line="240" w:lineRule="auto"/>
        <w:ind w:left="360" w:firstLine="720"/>
      </w:pPr>
      <w:r>
        <w:rPr>
          <w:lang w:val="en-US"/>
        </w:rPr>
        <w:t xml:space="preserve">5. </w:t>
      </w:r>
      <w:r w:rsidR="00001732">
        <w:t>Đánh giá chung:</w:t>
      </w:r>
    </w:p>
    <w:p w:rsidR="00A04B41" w:rsidRDefault="00A04B41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lastRenderedPageBreak/>
        <w:t xml:space="preserve">- </w:t>
      </w:r>
      <w:r w:rsidR="00001732">
        <w:t>Đơn, thư khiếu nại, tố cáo tập trung chủ yếu vào lĩnh vực nào, thuộc thẩm quyền giải quyết của cấp nào.</w:t>
      </w:r>
    </w:p>
    <w:p w:rsidR="00A04B41" w:rsidRDefault="00A04B41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 w:rsidR="00001732">
        <w:t xml:space="preserve">Đánh </w:t>
      </w:r>
      <w:r w:rsidR="00001732">
        <w:t>giá việc chấp hành các quy định của pháp luật về khiếu nại, tố cáo:</w:t>
      </w:r>
    </w:p>
    <w:p w:rsidR="00A04B41" w:rsidRDefault="00001732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 xml:space="preserve">+ </w:t>
      </w:r>
      <w:r w:rsidR="00A04B41">
        <w:rPr>
          <w:lang w:val="en-US"/>
        </w:rPr>
        <w:t>Về t</w:t>
      </w:r>
      <w:r>
        <w:t>iếp nhận, thụ l</w:t>
      </w:r>
      <w:r w:rsidR="00A04B41">
        <w:rPr>
          <w:lang w:val="en-US"/>
        </w:rPr>
        <w:t>ý</w:t>
      </w:r>
      <w:r>
        <w:t xml:space="preserve"> và thời hạn giải quyết, trả lời;</w:t>
      </w:r>
    </w:p>
    <w:p w:rsidR="00A04B41" w:rsidRDefault="00001732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 xml:space="preserve">+ </w:t>
      </w:r>
      <w:r w:rsidR="00A04B41">
        <w:rPr>
          <w:lang w:val="en-US"/>
        </w:rPr>
        <w:t>V</w:t>
      </w:r>
      <w:r w:rsidRPr="00A04B41">
        <w:rPr>
          <w:lang w:val="en-US"/>
        </w:rPr>
        <w:t>ề</w:t>
      </w:r>
      <w:r>
        <w:rPr>
          <w:rStyle w:val="Bodytext217pt"/>
        </w:rPr>
        <w:t xml:space="preserve"> </w:t>
      </w:r>
      <w:r>
        <w:t xml:space="preserve">việc </w:t>
      </w:r>
      <w:r w:rsidR="00A04B41">
        <w:t>bảo đảm công khai trong việc kiể</w:t>
      </w:r>
      <w:r>
        <w:t>m tra, xác minh nội dung khiếu nại;</w:t>
      </w:r>
    </w:p>
    <w:p w:rsidR="00A04B41" w:rsidRDefault="00001732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rStyle w:val="Bodytext217pt"/>
        </w:rPr>
        <w:t xml:space="preserve">+ </w:t>
      </w:r>
      <w:r w:rsidR="00A04B41">
        <w:rPr>
          <w:rStyle w:val="Bodytext217pt"/>
          <w:lang w:val="en-US"/>
        </w:rPr>
        <w:t>V</w:t>
      </w:r>
      <w:r w:rsidRPr="00A04B41">
        <w:rPr>
          <w:lang w:val="en-US"/>
        </w:rPr>
        <w:t>ề</w:t>
      </w:r>
      <w:r>
        <w:rPr>
          <w:rStyle w:val="Bodytext217pt"/>
        </w:rPr>
        <w:t xml:space="preserve"> </w:t>
      </w:r>
      <w:r>
        <w:t>việc thực hiện đối thoại khi giải quyết khiếu nại</w:t>
      </w:r>
      <w:r>
        <w:t xml:space="preserve"> (do người đứng đầu trực tiếp đối thoại hay ủy quyền đối thoại);</w:t>
      </w:r>
    </w:p>
    <w:p w:rsidR="00A04B41" w:rsidRDefault="00001732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>+ Việc giữ bí mật thông tin và b</w:t>
      </w:r>
      <w:r w:rsidR="00A04B41">
        <w:rPr>
          <w:lang w:val="en-US"/>
        </w:rPr>
        <w:t>ả</w:t>
      </w:r>
      <w:r w:rsidR="00A04B41">
        <w:t>o vệ người tố</w:t>
      </w:r>
      <w:r>
        <w:t xml:space="preserve"> cáo;</w:t>
      </w:r>
    </w:p>
    <w:p w:rsidR="00A04B41" w:rsidRDefault="00001732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>+ Việc ban hành quyết định giải quyết khiếu nại, công khai quyết định giải quyết khiếu nại; kết luận việc giải quyết tố cáo;</w:t>
      </w:r>
    </w:p>
    <w:p w:rsidR="00A04B41" w:rsidRDefault="00001732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>+ K</w:t>
      </w:r>
      <w:r w:rsidR="00A04B41">
        <w:rPr>
          <w:lang w:val="en-US"/>
        </w:rPr>
        <w:t>ế</w:t>
      </w:r>
      <w:r>
        <w:t>t quả thực</w:t>
      </w:r>
      <w:r>
        <w:t xml:space="preserve"> hiện quyết định giải quyết khiếu nại.</w:t>
      </w:r>
    </w:p>
    <w:p w:rsidR="00A04B41" w:rsidRDefault="00001732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>+ Công tác thanh tra, kiểm tra trách nhiệm tiếp công dân, giải quyết khiếu nại, t</w:t>
      </w:r>
      <w:r w:rsidR="00A04B41">
        <w:rPr>
          <w:lang w:val="en-US"/>
        </w:rPr>
        <w:t>ố</w:t>
      </w:r>
      <w:r>
        <w:t xml:space="preserve"> cáo (có số liệu cụ th</w:t>
      </w:r>
      <w:r w:rsidR="00A04B41">
        <w:rPr>
          <w:lang w:val="en-US"/>
        </w:rPr>
        <w:t>ể</w:t>
      </w:r>
      <w:r>
        <w:t xml:space="preserve"> ở các cấp) và kết quả.</w:t>
      </w:r>
    </w:p>
    <w:p w:rsidR="00A04B41" w:rsidRDefault="00001732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 xml:space="preserve">+ Việc xử lý trách nhiệm đối với người thiếu trách nhiệm trong việc giải quyết khiếu </w:t>
      </w:r>
      <w:r>
        <w:t>nại, tố cáo.</w:t>
      </w:r>
    </w:p>
    <w:p w:rsidR="00A04B41" w:rsidRDefault="00001732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>+ Việc thực hiện công tác phối h</w:t>
      </w:r>
      <w:r w:rsidR="00A04B41">
        <w:rPr>
          <w:lang w:val="en-US"/>
        </w:rPr>
        <w:t>ợp</w:t>
      </w:r>
      <w:r>
        <w:t xml:space="preserve"> (việc phối hợp với cơ quan Trung ương, với cơ quan, đoàn thể tại địa phương).</w:t>
      </w:r>
    </w:p>
    <w:p w:rsidR="00781580" w:rsidRDefault="00A04B41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>+</w:t>
      </w:r>
      <w:r w:rsidR="00001732">
        <w:t xml:space="preserve"> Tính công khai, minh bạch trong giải quyết, thông tin, tuyên truyền trên các phương tiện thông tin đại chúng.</w:t>
      </w:r>
    </w:p>
    <w:p w:rsidR="00781580" w:rsidRDefault="00A04B41" w:rsidP="00A54D69">
      <w:pPr>
        <w:pStyle w:val="Bodytext50"/>
        <w:shd w:val="clear" w:color="auto" w:fill="auto"/>
        <w:tabs>
          <w:tab w:val="left" w:pos="1143"/>
        </w:tabs>
        <w:spacing w:before="120" w:after="0" w:line="240" w:lineRule="auto"/>
        <w:ind w:left="360" w:firstLine="720"/>
      </w:pPr>
      <w:r>
        <w:rPr>
          <w:lang w:val="en-US"/>
        </w:rPr>
        <w:t xml:space="preserve">II. </w:t>
      </w:r>
      <w:r w:rsidR="00001732">
        <w:t>K</w:t>
      </w:r>
      <w:r>
        <w:rPr>
          <w:lang w:val="en-US"/>
        </w:rPr>
        <w:t>Ế</w:t>
      </w:r>
      <w:r w:rsidR="00001732">
        <w:t>T QUẢ GIẢI QUY</w:t>
      </w:r>
      <w:r>
        <w:rPr>
          <w:lang w:val="en-US"/>
        </w:rPr>
        <w:t>Ế</w:t>
      </w:r>
      <w:r w:rsidR="00001732">
        <w:t xml:space="preserve">T CÁC </w:t>
      </w:r>
      <w:r w:rsidR="00001732">
        <w:rPr>
          <w:rStyle w:val="Bodytext517pt"/>
        </w:rPr>
        <w:t xml:space="preserve">vụ </w:t>
      </w:r>
      <w:r>
        <w:t>VIỆC KHIẾ</w:t>
      </w:r>
      <w:r w:rsidR="00001732">
        <w:t xml:space="preserve">U NẠI, TỐ CÁO DO CÁC </w:t>
      </w:r>
      <w:r>
        <w:rPr>
          <w:lang w:val="en-US"/>
        </w:rPr>
        <w:t>CƠ</w:t>
      </w:r>
      <w:r w:rsidR="00001732">
        <w:t xml:space="preserve"> QU</w:t>
      </w:r>
      <w:r>
        <w:rPr>
          <w:lang w:val="en-US"/>
        </w:rPr>
        <w:t>A</w:t>
      </w:r>
      <w:r w:rsidR="00001732">
        <w:t>N CỦA QU</w:t>
      </w:r>
      <w:r>
        <w:rPr>
          <w:lang w:val="en-US"/>
        </w:rPr>
        <w:t>Ố</w:t>
      </w:r>
      <w:r w:rsidR="00001732">
        <w:t>C HỘI, BAN THUỘC UBTVQH, ĐOÀN ĐẠI BIỂU QUỐC HỘI, ĐẠI BI</w:t>
      </w:r>
      <w:r>
        <w:rPr>
          <w:lang w:val="en-US"/>
        </w:rPr>
        <w:t>Ể</w:t>
      </w:r>
      <w:r w:rsidR="00001732">
        <w:t>U QU</w:t>
      </w:r>
      <w:r>
        <w:rPr>
          <w:lang w:val="en-US"/>
        </w:rPr>
        <w:t>Ố</w:t>
      </w:r>
      <w:r>
        <w:t>C HỘI CHUYỂ</w:t>
      </w:r>
      <w:r w:rsidR="00001732">
        <w:t>N Đ</w:t>
      </w:r>
      <w:r>
        <w:rPr>
          <w:lang w:val="en-US"/>
        </w:rPr>
        <w:t>Ế</w:t>
      </w:r>
      <w:r w:rsidR="00001732">
        <w:t>N</w:t>
      </w:r>
    </w:p>
    <w:p w:rsidR="00A04B41" w:rsidRDefault="00A04B41" w:rsidP="00A04B41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>1. V</w:t>
      </w:r>
      <w:r w:rsidR="00001732" w:rsidRPr="00A04B41">
        <w:t xml:space="preserve">ề </w:t>
      </w:r>
      <w:r w:rsidR="00001732">
        <w:t xml:space="preserve">kết quả giải quyết đơn khiếu nại, tố cáo do các cơ quan của Quốc hội, Ban thuộc </w:t>
      </w:r>
      <w:r>
        <w:rPr>
          <w:lang w:val="en-US"/>
        </w:rPr>
        <w:t>Ủ</w:t>
      </w:r>
      <w:r w:rsidR="00001732">
        <w:t>y ban thường vụ Quốc hội, Đoàn Đại bi</w:t>
      </w:r>
      <w:r>
        <w:rPr>
          <w:lang w:val="en-US"/>
        </w:rPr>
        <w:t>ể</w:t>
      </w:r>
      <w:r w:rsidR="00001732">
        <w:t>u</w:t>
      </w:r>
      <w:r w:rsidR="00001732">
        <w:t xml:space="preserve"> Quốc hội và đại biểu Qu</w:t>
      </w:r>
      <w:r>
        <w:rPr>
          <w:lang w:val="en-US"/>
        </w:rPr>
        <w:t>ố</w:t>
      </w:r>
      <w:r w:rsidR="00001732">
        <w:t>c hội chuy</w:t>
      </w:r>
      <w:r>
        <w:rPr>
          <w:lang w:val="en-US"/>
        </w:rPr>
        <w:t>ể</w:t>
      </w:r>
      <w:r w:rsidR="00001732">
        <w:t>n đến các cấp, ngành có th</w:t>
      </w:r>
      <w:r>
        <w:rPr>
          <w:lang w:val="en-US"/>
        </w:rPr>
        <w:t>ẩ</w:t>
      </w:r>
      <w:r w:rsidR="00001732">
        <w:t>m quyền trên địa bàn:</w:t>
      </w:r>
    </w:p>
    <w:p w:rsidR="00060CC2" w:rsidRDefault="00A04B41" w:rsidP="00A54D69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  <w:rPr>
          <w:lang w:val="en-US"/>
        </w:rPr>
      </w:pPr>
      <w:r>
        <w:rPr>
          <w:lang w:val="en-US"/>
        </w:rPr>
        <w:t xml:space="preserve">- </w:t>
      </w:r>
      <w:r w:rsidR="00001732">
        <w:t>Tổng số đơn nhận được</w:t>
      </w:r>
      <w:r w:rsidR="00060CC2">
        <w:rPr>
          <w:lang w:val="en-US"/>
        </w:rPr>
        <w:t>.</w:t>
      </w:r>
    </w:p>
    <w:p w:rsidR="00060CC2" w:rsidRDefault="00060CC2" w:rsidP="00060CC2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>
        <w:t>Số vụ việc đã giải quyết.</w:t>
      </w:r>
    </w:p>
    <w:p w:rsidR="00060CC2" w:rsidRDefault="00060CC2" w:rsidP="00060CC2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>-</w:t>
      </w:r>
      <w:r>
        <w:t xml:space="preserve"> Số vụ việc đang giải quyết.</w:t>
      </w:r>
    </w:p>
    <w:p w:rsidR="00781580" w:rsidRDefault="00060CC2" w:rsidP="00060CC2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>-</w:t>
      </w:r>
      <w:r w:rsidR="00001732">
        <w:t xml:space="preserve"> Số vụ việc chưa giải quyết, lý do của việc chưa giải quy</w:t>
      </w:r>
      <w:r>
        <w:rPr>
          <w:lang w:val="en-US"/>
        </w:rPr>
        <w:t>ế</w:t>
      </w:r>
      <w:r w:rsidR="00001732">
        <w:t>t.</w:t>
      </w:r>
    </w:p>
    <w:p w:rsidR="00060CC2" w:rsidRDefault="00060CC2" w:rsidP="00060CC2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rPr>
          <w:lang w:val="en-US"/>
        </w:rPr>
        <w:t xml:space="preserve">- </w:t>
      </w:r>
      <w:r>
        <w:t>Đối với vụ việc không thuộc thẩ</w:t>
      </w:r>
      <w:r w:rsidR="00001732">
        <w:t>m quyền:</w:t>
      </w:r>
    </w:p>
    <w:p w:rsidR="00060CC2" w:rsidRDefault="00001732" w:rsidP="00060CC2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 xml:space="preserve">+ Số vụ việc thuộc thẩm quyền giải quyết của bộ, ngành </w:t>
      </w:r>
      <w:r w:rsidR="00060CC2">
        <w:rPr>
          <w:lang w:val="en-US"/>
        </w:rPr>
        <w:t>T</w:t>
      </w:r>
      <w:r w:rsidR="00060CC2">
        <w:t>rung ương nhưng lại chuyển về</w:t>
      </w:r>
      <w:r>
        <w:t xml:space="preserve"> địa phương;</w:t>
      </w:r>
    </w:p>
    <w:p w:rsidR="00060CC2" w:rsidRDefault="00001732" w:rsidP="00060CC2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>+ Số vụ việc thuộc thẩm quyền giải quyết của cơ quan tư pháp nhưng lại chuy</w:t>
      </w:r>
      <w:r w:rsidR="00060CC2">
        <w:rPr>
          <w:lang w:val="en-US"/>
        </w:rPr>
        <w:t>ể</w:t>
      </w:r>
      <w:r>
        <w:t>n cho cơ quan hành chính;</w:t>
      </w:r>
    </w:p>
    <w:p w:rsidR="00781580" w:rsidRDefault="00001732" w:rsidP="00060CC2">
      <w:pPr>
        <w:pStyle w:val="Bodytext20"/>
        <w:shd w:val="clear" w:color="auto" w:fill="auto"/>
        <w:tabs>
          <w:tab w:val="left" w:pos="1032"/>
        </w:tabs>
        <w:spacing w:before="120" w:after="0" w:line="240" w:lineRule="auto"/>
        <w:ind w:left="360" w:firstLine="720"/>
      </w:pPr>
      <w:r>
        <w:t>+ Số vụ việc đã hết thời hiệu</w:t>
      </w:r>
    </w:p>
    <w:p w:rsidR="00781580" w:rsidRDefault="00060CC2" w:rsidP="00A54D69">
      <w:pPr>
        <w:pStyle w:val="Bodytext20"/>
        <w:shd w:val="clear" w:color="auto" w:fill="auto"/>
        <w:tabs>
          <w:tab w:val="left" w:pos="1107"/>
        </w:tabs>
        <w:spacing w:before="120" w:after="0" w:line="240" w:lineRule="auto"/>
        <w:ind w:left="360" w:firstLine="720"/>
      </w:pPr>
      <w:r>
        <w:rPr>
          <w:lang w:val="en-US"/>
        </w:rPr>
        <w:lastRenderedPageBreak/>
        <w:t xml:space="preserve">2. </w:t>
      </w:r>
      <w:r w:rsidR="00001732">
        <w:t>Báo cáo kết qu</w:t>
      </w:r>
      <w:r>
        <w:rPr>
          <w:lang w:val="en-US"/>
        </w:rPr>
        <w:t>ả</w:t>
      </w:r>
      <w:r w:rsidR="00001732">
        <w:t xml:space="preserve"> </w:t>
      </w:r>
      <w:r w:rsidR="00001732">
        <w:t>giải quyết một số vụ việc do Ban Dân nguyện chuy</w:t>
      </w:r>
      <w:r>
        <w:rPr>
          <w:lang w:val="en-US"/>
        </w:rPr>
        <w:t>ể</w:t>
      </w:r>
      <w:r w:rsidR="00001732">
        <w:t>n đến địa phương (theo danh sách vụ việc gửi kèm nếu có, đề nghị có tài liệu kèm theo báo cáo).</w:t>
      </w:r>
    </w:p>
    <w:p w:rsidR="00781580" w:rsidRDefault="00060CC2" w:rsidP="00A54D69">
      <w:pPr>
        <w:pStyle w:val="Bodytext20"/>
        <w:shd w:val="clear" w:color="auto" w:fill="auto"/>
        <w:tabs>
          <w:tab w:val="left" w:pos="1111"/>
        </w:tabs>
        <w:spacing w:before="120" w:after="0" w:line="240" w:lineRule="auto"/>
        <w:ind w:left="360" w:firstLine="720"/>
      </w:pPr>
      <w:r>
        <w:rPr>
          <w:lang w:val="en-US"/>
        </w:rPr>
        <w:t xml:space="preserve">3. </w:t>
      </w:r>
      <w:r w:rsidR="00001732">
        <w:t>Báo cáo kết quả thực hiện kiến nghị sau giám sát của Đoàn giám sát của UBTVQH trong năm 2017 về việc giải quy</w:t>
      </w:r>
      <w:r>
        <w:rPr>
          <w:lang w:val="en-US"/>
        </w:rPr>
        <w:t>ế</w:t>
      </w:r>
      <w:r w:rsidR="00001732">
        <w:t>t</w:t>
      </w:r>
      <w:r>
        <w:t xml:space="preserve"> các vụ việc cụ thể</w:t>
      </w:r>
      <w:r w:rsidR="00001732">
        <w:t xml:space="preserve"> (đ</w:t>
      </w:r>
      <w:r>
        <w:rPr>
          <w:lang w:val="en-US"/>
        </w:rPr>
        <w:t>ố</w:t>
      </w:r>
      <w:r>
        <w:t>i với một số</w:t>
      </w:r>
      <w:r w:rsidR="00001732">
        <w:t xml:space="preserve"> tỉnh, thành phố Đoàn đến giám sát</w:t>
      </w:r>
      <w:r w:rsidR="00001732">
        <w:rPr>
          <w:vertAlign w:val="superscript"/>
        </w:rPr>
        <w:footnoteReference w:id="1"/>
      </w:r>
      <w:r w:rsidR="00001732">
        <w:rPr>
          <w:vertAlign w:val="superscript"/>
        </w:rPr>
        <w:t xml:space="preserve"> </w:t>
      </w:r>
      <w:r w:rsidR="00001732">
        <w:rPr>
          <w:vertAlign w:val="superscript"/>
        </w:rPr>
        <w:footnoteReference w:id="2"/>
      </w:r>
      <w:r w:rsidR="00001732">
        <w:t>).</w:t>
      </w:r>
    </w:p>
    <w:p w:rsidR="00781580" w:rsidRDefault="00060CC2" w:rsidP="00A54D69">
      <w:pPr>
        <w:pStyle w:val="Bodytext50"/>
        <w:shd w:val="clear" w:color="auto" w:fill="auto"/>
        <w:tabs>
          <w:tab w:val="left" w:pos="1277"/>
        </w:tabs>
        <w:spacing w:before="120" w:after="0" w:line="240" w:lineRule="auto"/>
        <w:ind w:left="360" w:firstLine="720"/>
      </w:pPr>
      <w:r>
        <w:rPr>
          <w:lang w:val="en-US"/>
        </w:rPr>
        <w:t xml:space="preserve">III. </w:t>
      </w:r>
      <w:r w:rsidR="00001732">
        <w:t>NHẬN XÉT CHUNG</w:t>
      </w:r>
    </w:p>
    <w:p w:rsidR="00781580" w:rsidRDefault="00060CC2" w:rsidP="00A54D69">
      <w:pPr>
        <w:pStyle w:val="Bodytext20"/>
        <w:shd w:val="clear" w:color="auto" w:fill="auto"/>
        <w:tabs>
          <w:tab w:val="left" w:pos="1111"/>
        </w:tabs>
        <w:spacing w:before="120" w:after="0" w:line="240" w:lineRule="auto"/>
        <w:ind w:left="360" w:firstLine="720"/>
      </w:pPr>
      <w:r w:rsidRPr="00060CC2">
        <w:t xml:space="preserve">1. </w:t>
      </w:r>
      <w:r w:rsidR="00001732">
        <w:t>Nh</w:t>
      </w:r>
      <w:r w:rsidRPr="00060CC2">
        <w:t>ữ</w:t>
      </w:r>
      <w:r w:rsidR="00001732">
        <w:t>ng kết quả đạt được;</w:t>
      </w:r>
    </w:p>
    <w:p w:rsidR="00781580" w:rsidRDefault="00060CC2" w:rsidP="00A54D69">
      <w:pPr>
        <w:pStyle w:val="Bodytext20"/>
        <w:shd w:val="clear" w:color="auto" w:fill="auto"/>
        <w:tabs>
          <w:tab w:val="left" w:pos="1096"/>
        </w:tabs>
        <w:spacing w:before="120" w:after="0" w:line="240" w:lineRule="auto"/>
        <w:ind w:left="360" w:firstLine="720"/>
      </w:pPr>
      <w:r>
        <w:rPr>
          <w:lang w:val="en-US"/>
        </w:rPr>
        <w:t xml:space="preserve">2. </w:t>
      </w:r>
      <w:r w:rsidR="00001732">
        <w:t>Tồn tại, hạn chế trong công tác tiếp công dân, giải quyết khiếu nại, tố cáo; về cơ chế chính sách; t</w:t>
      </w:r>
      <w:r>
        <w:rPr>
          <w:lang w:val="en-US"/>
        </w:rPr>
        <w:t>ổ</w:t>
      </w:r>
      <w:r w:rsidR="00001732">
        <w:t xml:space="preserve"> chức chỉ đạo, điều hành và thực hiện </w:t>
      </w:r>
      <w:r w:rsidR="00001732">
        <w:t>(gồm khó khăn, vướng mắ</w:t>
      </w:r>
      <w:r>
        <w:rPr>
          <w:lang w:val="en-US"/>
        </w:rPr>
        <w:t>c</w:t>
      </w:r>
      <w:r w:rsidR="00001732">
        <w:t xml:space="preserve"> trong t</w:t>
      </w:r>
      <w:r>
        <w:rPr>
          <w:lang w:val="en-US"/>
        </w:rPr>
        <w:t>ổ</w:t>
      </w:r>
      <w:r w:rsidR="00001732">
        <w:t xml:space="preserve"> chức thực hiện kết luận, quyết định có hiệu lực pháp luật); công tác phối hợp; nh</w:t>
      </w:r>
      <w:r>
        <w:rPr>
          <w:lang w:val="en-US"/>
        </w:rPr>
        <w:t>ữ</w:t>
      </w:r>
      <w:r w:rsidR="00001732">
        <w:t>ng vấn đề từ phía người dân;</w:t>
      </w:r>
    </w:p>
    <w:p w:rsidR="00781580" w:rsidRDefault="00060CC2" w:rsidP="00A54D69">
      <w:pPr>
        <w:pStyle w:val="Bodytext20"/>
        <w:shd w:val="clear" w:color="auto" w:fill="auto"/>
        <w:tabs>
          <w:tab w:val="left" w:pos="1140"/>
        </w:tabs>
        <w:spacing w:before="120" w:after="0" w:line="240" w:lineRule="auto"/>
        <w:ind w:left="360" w:firstLine="720"/>
      </w:pPr>
      <w:r>
        <w:rPr>
          <w:lang w:val="en-US"/>
        </w:rPr>
        <w:t xml:space="preserve">3. </w:t>
      </w:r>
      <w:r w:rsidR="00001732">
        <w:t xml:space="preserve">Nguyên nhân của những tồn tại, hạn chế: </w:t>
      </w:r>
      <w:r>
        <w:rPr>
          <w:lang w:val="en-US"/>
        </w:rPr>
        <w:t>C</w:t>
      </w:r>
      <w:r w:rsidR="00001732">
        <w:t>hủ quan, khách quan</w:t>
      </w:r>
    </w:p>
    <w:p w:rsidR="00781580" w:rsidRDefault="00060CC2" w:rsidP="00A54D69">
      <w:pPr>
        <w:pStyle w:val="Bodytext20"/>
        <w:shd w:val="clear" w:color="auto" w:fill="auto"/>
        <w:tabs>
          <w:tab w:val="left" w:pos="1147"/>
        </w:tabs>
        <w:spacing w:before="120" w:after="0" w:line="240" w:lineRule="auto"/>
        <w:ind w:left="360" w:firstLine="720"/>
      </w:pPr>
      <w:r>
        <w:rPr>
          <w:lang w:val="en-US"/>
        </w:rPr>
        <w:t xml:space="preserve">4. </w:t>
      </w:r>
      <w:r w:rsidR="00001732">
        <w:t>Các giải pháp khắc phục trong thời gian tới.</w:t>
      </w:r>
    </w:p>
    <w:p w:rsidR="00781580" w:rsidRDefault="00060CC2" w:rsidP="00A54D69">
      <w:pPr>
        <w:pStyle w:val="Bodytext50"/>
        <w:shd w:val="clear" w:color="auto" w:fill="auto"/>
        <w:tabs>
          <w:tab w:val="left" w:pos="1262"/>
        </w:tabs>
        <w:spacing w:before="120" w:after="0" w:line="240" w:lineRule="auto"/>
        <w:ind w:left="360" w:firstLine="720"/>
      </w:pPr>
      <w:r>
        <w:rPr>
          <w:lang w:val="en-US"/>
        </w:rPr>
        <w:t xml:space="preserve">IV. </w:t>
      </w:r>
      <w:r w:rsidR="00001732">
        <w:t>KI</w:t>
      </w:r>
      <w:r>
        <w:rPr>
          <w:lang w:val="en-US"/>
        </w:rPr>
        <w:t>Ế</w:t>
      </w:r>
      <w:r w:rsidR="00001732">
        <w:t xml:space="preserve">N </w:t>
      </w:r>
      <w:r w:rsidR="00001732">
        <w:t>NGHỊ, Đ</w:t>
      </w:r>
      <w:r>
        <w:rPr>
          <w:lang w:val="en-US"/>
        </w:rPr>
        <w:t>Ề</w:t>
      </w:r>
      <w:r w:rsidR="00001732">
        <w:t xml:space="preserve"> XUẤT</w:t>
      </w:r>
    </w:p>
    <w:p w:rsidR="00781580" w:rsidRDefault="00060CC2" w:rsidP="00060CC2">
      <w:pPr>
        <w:pStyle w:val="Bodytext20"/>
        <w:shd w:val="clear" w:color="auto" w:fill="auto"/>
        <w:tabs>
          <w:tab w:val="left" w:pos="1147"/>
        </w:tabs>
        <w:spacing w:before="120" w:after="0" w:line="240" w:lineRule="auto"/>
        <w:ind w:left="360" w:firstLine="720"/>
      </w:pPr>
      <w:r w:rsidRPr="00060CC2">
        <w:t xml:space="preserve">1. </w:t>
      </w:r>
      <w:r>
        <w:rPr>
          <w:lang w:val="en-US"/>
        </w:rPr>
        <w:t>V</w:t>
      </w:r>
      <w:r w:rsidR="00001732" w:rsidRPr="00060CC2">
        <w:t xml:space="preserve">ề </w:t>
      </w:r>
      <w:r w:rsidR="00001732">
        <w:t xml:space="preserve">hoàn thiện pháp luật </w:t>
      </w:r>
      <w:r w:rsidR="00001732" w:rsidRPr="00060CC2">
        <w:t xml:space="preserve">(đề </w:t>
      </w:r>
      <w:r w:rsidR="00001732">
        <w:t>nghị nêu cụ thể);</w:t>
      </w:r>
    </w:p>
    <w:p w:rsidR="00781580" w:rsidRDefault="00060CC2" w:rsidP="00A54D69">
      <w:pPr>
        <w:pStyle w:val="Bodytext20"/>
        <w:shd w:val="clear" w:color="auto" w:fill="auto"/>
        <w:tabs>
          <w:tab w:val="left" w:pos="1136"/>
        </w:tabs>
        <w:spacing w:before="120" w:after="0" w:line="240" w:lineRule="auto"/>
        <w:ind w:left="360" w:firstLine="720"/>
      </w:pPr>
      <w:r>
        <w:rPr>
          <w:lang w:val="en-US"/>
        </w:rPr>
        <w:t>2. V</w:t>
      </w:r>
      <w:r w:rsidR="00001732" w:rsidRPr="00060CC2">
        <w:t xml:space="preserve">ề </w:t>
      </w:r>
      <w:r w:rsidR="00001732">
        <w:t>tổ chức thực hiện pháp luật;</w:t>
      </w:r>
    </w:p>
    <w:p w:rsidR="00781580" w:rsidRDefault="00060CC2" w:rsidP="00A54D69">
      <w:pPr>
        <w:pStyle w:val="Bodytext20"/>
        <w:shd w:val="clear" w:color="auto" w:fill="auto"/>
        <w:tabs>
          <w:tab w:val="left" w:pos="1104"/>
        </w:tabs>
        <w:spacing w:before="120" w:after="0" w:line="240" w:lineRule="auto"/>
        <w:ind w:left="360" w:firstLine="720"/>
      </w:pPr>
      <w:r>
        <w:rPr>
          <w:lang w:val="en-US"/>
        </w:rPr>
        <w:t xml:space="preserve">3. </w:t>
      </w:r>
      <w:r w:rsidR="00001732">
        <w:t xml:space="preserve">Việc xử lý, chuyển đơn và giám sát việc giải quyết khiếu nại, tố cáo của các cơ quan của </w:t>
      </w:r>
      <w:r>
        <w:rPr>
          <w:lang w:val="en-US"/>
        </w:rPr>
        <w:t>Q</w:t>
      </w:r>
      <w:r w:rsidR="00001732">
        <w:t>uốc hộ</w:t>
      </w:r>
      <w:bookmarkStart w:id="0" w:name="_GoBack"/>
      <w:bookmarkEnd w:id="0"/>
      <w:r w:rsidR="00001732">
        <w:t>i, cơ quan c</w:t>
      </w:r>
      <w:r>
        <w:rPr>
          <w:lang w:val="en-US"/>
        </w:rPr>
        <w:t>ủ</w:t>
      </w:r>
      <w:r w:rsidR="00001732">
        <w:t xml:space="preserve">a </w:t>
      </w:r>
      <w:r>
        <w:rPr>
          <w:lang w:val="en-US"/>
        </w:rPr>
        <w:t>Ủ</w:t>
      </w:r>
      <w:r w:rsidR="00001732">
        <w:t xml:space="preserve">y ban thường vụ </w:t>
      </w:r>
      <w:r>
        <w:rPr>
          <w:lang w:val="en-US"/>
        </w:rPr>
        <w:t>Quốc</w:t>
      </w:r>
      <w:r w:rsidR="00001732">
        <w:t xml:space="preserve"> hội, Đoàn đại biểu Quốc hội và </w:t>
      </w:r>
      <w:r w:rsidR="00001732">
        <w:t>đại biểu Quốc hội.</w:t>
      </w:r>
    </w:p>
    <w:p w:rsidR="00781580" w:rsidRDefault="00060CC2" w:rsidP="00060CC2">
      <w:pPr>
        <w:pStyle w:val="Bodytext20"/>
        <w:shd w:val="clear" w:color="auto" w:fill="auto"/>
        <w:tabs>
          <w:tab w:val="left" w:pos="1144"/>
        </w:tabs>
        <w:spacing w:before="120" w:after="0" w:line="240" w:lineRule="auto"/>
        <w:ind w:left="360" w:firstLine="720"/>
        <w:rPr>
          <w:sz w:val="2"/>
          <w:szCs w:val="2"/>
        </w:rPr>
      </w:pPr>
      <w:r>
        <w:rPr>
          <w:lang w:val="en-US"/>
        </w:rPr>
        <w:t xml:space="preserve">4. </w:t>
      </w:r>
      <w:r w:rsidR="00001732">
        <w:t>Kiến nghị cụ thể với Ban Dân nguyện về một số vấn đề cần thiết (nếu có)./.</w:t>
      </w:r>
    </w:p>
    <w:sectPr w:rsidR="00781580" w:rsidSect="00060CC2">
      <w:headerReference w:type="default" r:id="rId7"/>
      <w:footerReference w:type="default" r:id="rId8"/>
      <w:type w:val="continuous"/>
      <w:pgSz w:w="11900" w:h="16840" w:code="9"/>
      <w:pgMar w:top="1134" w:right="1134" w:bottom="851" w:left="1985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32" w:rsidRDefault="00001732">
      <w:r>
        <w:separator/>
      </w:r>
    </w:p>
  </w:endnote>
  <w:endnote w:type="continuationSeparator" w:id="0">
    <w:p w:rsidR="00001732" w:rsidRDefault="0000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80" w:rsidRDefault="00060CC2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5607050</wp:posOffset>
              </wp:positionH>
              <wp:positionV relativeFrom="page">
                <wp:posOffset>7124065</wp:posOffset>
              </wp:positionV>
              <wp:extent cx="170815" cy="153035"/>
              <wp:effectExtent l="0" t="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580" w:rsidRDefault="0000173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5pt"/>
                            </w:rPr>
                            <w:t>1/4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1.5pt;margin-top:560.95pt;width:13.4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" filled="f" stroked="f">
              <v:textbox style="mso-fit-shape-to-text:t" inset="0,0,0,0">
                <w:txbxContent>
                  <w:p w:rsidR="00781580" w:rsidRDefault="0000173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5pt"/>
                      </w:rPr>
                      <w:t>1/4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32" w:rsidRDefault="00001732">
      <w:r>
        <w:separator/>
      </w:r>
    </w:p>
  </w:footnote>
  <w:footnote w:type="continuationSeparator" w:id="0">
    <w:p w:rsidR="00001732" w:rsidRDefault="00001732">
      <w:r>
        <w:continuationSeparator/>
      </w:r>
    </w:p>
  </w:footnote>
  <w:footnote w:id="1">
    <w:p w:rsidR="00781580" w:rsidRDefault="00001732">
      <w:pPr>
        <w:pStyle w:val="Footnote0"/>
        <w:shd w:val="clear" w:color="auto" w:fill="auto"/>
        <w:tabs>
          <w:tab w:val="left" w:pos="126"/>
        </w:tabs>
      </w:pPr>
      <w:r>
        <w:rPr>
          <w:vertAlign w:val="superscript"/>
        </w:rPr>
        <w:footnoteRef/>
      </w:r>
      <w:r>
        <w:tab/>
        <w:t>Tại Báo cáo số 202/BC-UBTVỌH14 ngàỵ 26/10/2017 của UBTVQH về kết quá tiếp công dân, xử lý đơn thư và giám sát việc giải quyết khiếu nại, tố cáo gùi đến Quốc hội.</w:t>
      </w:r>
    </w:p>
  </w:footnote>
  <w:footnote w:id="2">
    <w:p w:rsidR="00781580" w:rsidRDefault="00001732">
      <w:pPr>
        <w:pStyle w:val="Footnote0"/>
        <w:shd w:val="clear" w:color="auto" w:fill="auto"/>
        <w:tabs>
          <w:tab w:val="left" w:pos="115"/>
        </w:tabs>
      </w:pPr>
      <w:r>
        <w:rPr>
          <w:vertAlign w:val="superscript"/>
        </w:rPr>
        <w:footnoteRef/>
      </w:r>
      <w:r>
        <w:tab/>
        <w:t xml:space="preserve">Các </w:t>
      </w:r>
      <w:r>
        <w:t xml:space="preserve">tỉnh, thành phố: An Giang, Tây Ninh, Đồng Nai, Đăk Lăk, Ninh Bình, </w:t>
      </w:r>
      <w:r w:rsidR="00060CC2">
        <w:t>Hà Tĩnh, Thanh Hóa, Bắc Giang.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80" w:rsidRDefault="0078158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60C"/>
    <w:multiLevelType w:val="multilevel"/>
    <w:tmpl w:val="6332D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F2045"/>
    <w:multiLevelType w:val="multilevel"/>
    <w:tmpl w:val="5BA0A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1A7328"/>
    <w:multiLevelType w:val="hybridMultilevel"/>
    <w:tmpl w:val="48680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31F4"/>
    <w:multiLevelType w:val="multilevel"/>
    <w:tmpl w:val="26085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454F1C"/>
    <w:multiLevelType w:val="multilevel"/>
    <w:tmpl w:val="63B6C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FC0A37"/>
    <w:multiLevelType w:val="multilevel"/>
    <w:tmpl w:val="099E72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D910F4"/>
    <w:multiLevelType w:val="multilevel"/>
    <w:tmpl w:val="2812B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0"/>
    <w:rsid w:val="00001732"/>
    <w:rsid w:val="00060CC2"/>
    <w:rsid w:val="00781580"/>
    <w:rsid w:val="00A04B41"/>
    <w:rsid w:val="00A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D19C7"/>
  <w15:docId w15:val="{89DF5C18-6A85-4368-9F0F-25ACDBF1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Segoe UI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7pt">
    <w:name w:val="Body text (2) + 1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Bodytext517pt">
    <w:name w:val="Body text (5) + 17 pt"/>
    <w:aliases w:val="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vi-VN" w:eastAsia="vi-VN" w:bidi="vi-VN"/>
    </w:rPr>
  </w:style>
  <w:style w:type="character" w:customStyle="1" w:styleId="Headerorfooter105pt">
    <w:name w:val="Header or footer + 10.5 pt"/>
    <w:aliases w:val="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212pt">
    <w:name w:val="Body text (2) + 12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8pt">
    <w:name w:val="Body text (2) + 8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 w:eastAsia="vi-VN" w:bidi="vi-VN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vi-VN" w:eastAsia="vi-VN" w:bidi="vi-VN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360" w:line="324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6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C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Nguyễn Hữu Nhân</dc:creator>
  <cp:lastModifiedBy>Lê Nguyễn Hữu Nhân</cp:lastModifiedBy>
  <cp:revision>1</cp:revision>
  <dcterms:created xsi:type="dcterms:W3CDTF">2018-07-17T09:48:00Z</dcterms:created>
  <dcterms:modified xsi:type="dcterms:W3CDTF">2018-07-17T10:18:00Z</dcterms:modified>
</cp:coreProperties>
</file>